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4166" w14:textId="77777777" w:rsidR="00150A9C" w:rsidRPr="00C9050B" w:rsidRDefault="00150A9C" w:rsidP="00150A9C">
      <w:pPr>
        <w:rPr>
          <w:sz w:val="24"/>
          <w:szCs w:val="24"/>
        </w:rPr>
      </w:pPr>
      <w:r w:rsidRPr="00C9050B">
        <w:rPr>
          <w:smallCaps/>
          <w:sz w:val="24"/>
          <w:szCs w:val="24"/>
        </w:rPr>
        <w:t>richard ambrosini</w:t>
      </w:r>
      <w:r w:rsidRPr="00C9050B">
        <w:rPr>
          <w:sz w:val="24"/>
          <w:szCs w:val="24"/>
        </w:rPr>
        <w:t xml:space="preserve"> è professore di Letteratura inglese all’Università Roma Tre e socio dell’Accademia dei Lincei. </w:t>
      </w:r>
    </w:p>
    <w:p w14:paraId="3612BBD9" w14:textId="4D370C9C" w:rsidR="00150A9C" w:rsidRPr="00E3425A" w:rsidRDefault="00150A9C" w:rsidP="00150A9C">
      <w:pPr>
        <w:rPr>
          <w:sz w:val="24"/>
          <w:szCs w:val="24"/>
        </w:rPr>
      </w:pPr>
      <w:r w:rsidRPr="00E3425A">
        <w:rPr>
          <w:sz w:val="24"/>
          <w:szCs w:val="24"/>
        </w:rPr>
        <w:t xml:space="preserve">Ha pubblicato </w:t>
      </w:r>
      <w:r w:rsidR="00251FA7">
        <w:rPr>
          <w:sz w:val="24"/>
          <w:szCs w:val="24"/>
        </w:rPr>
        <w:t xml:space="preserve">articoli </w:t>
      </w:r>
      <w:r w:rsidRPr="00E3425A">
        <w:rPr>
          <w:sz w:val="24"/>
          <w:szCs w:val="24"/>
        </w:rPr>
        <w:t xml:space="preserve">di storia, politica e teoria e </w:t>
      </w:r>
      <w:r w:rsidR="00251FA7">
        <w:rPr>
          <w:sz w:val="24"/>
          <w:szCs w:val="24"/>
        </w:rPr>
        <w:t xml:space="preserve">saggi </w:t>
      </w:r>
      <w:r w:rsidRPr="00E3425A">
        <w:rPr>
          <w:sz w:val="24"/>
          <w:szCs w:val="24"/>
        </w:rPr>
        <w:t xml:space="preserve">su </w:t>
      </w:r>
      <w:r w:rsidR="00251FA7">
        <w:rPr>
          <w:sz w:val="24"/>
          <w:szCs w:val="24"/>
        </w:rPr>
        <w:t xml:space="preserve">diversi </w:t>
      </w:r>
      <w:r w:rsidRPr="00E3425A">
        <w:rPr>
          <w:sz w:val="24"/>
          <w:szCs w:val="24"/>
        </w:rPr>
        <w:t xml:space="preserve">autori inglesi, dal Trecento al Novecento. Negli anni, la sua ricerca si è concentrata soprattutto su due autori: lo scrittore polacco di lingua inglese Joseph Conrad – </w:t>
      </w:r>
      <w:proofErr w:type="spellStart"/>
      <w:r w:rsidRPr="00E3425A">
        <w:rPr>
          <w:i/>
          <w:iCs/>
          <w:color w:val="000000"/>
          <w:spacing w:val="-7"/>
          <w:sz w:val="24"/>
          <w:szCs w:val="24"/>
          <w:bdr w:val="none" w:sz="0" w:space="0" w:color="auto" w:frame="1"/>
        </w:rPr>
        <w:t>Conrad’s</w:t>
      </w:r>
      <w:proofErr w:type="spellEnd"/>
      <w:r w:rsidRPr="00E3425A">
        <w:rPr>
          <w:i/>
          <w:iCs/>
          <w:color w:val="000000"/>
          <w:spacing w:val="-7"/>
          <w:sz w:val="24"/>
          <w:szCs w:val="24"/>
          <w:bdr w:val="none" w:sz="0" w:space="0" w:color="auto" w:frame="1"/>
        </w:rPr>
        <w:t xml:space="preserve"> Fiction </w:t>
      </w:r>
      <w:proofErr w:type="spellStart"/>
      <w:r w:rsidRPr="00E3425A">
        <w:rPr>
          <w:i/>
          <w:iCs/>
          <w:color w:val="000000"/>
          <w:spacing w:val="-7"/>
          <w:sz w:val="24"/>
          <w:szCs w:val="24"/>
          <w:bdr w:val="none" w:sz="0" w:space="0" w:color="auto" w:frame="1"/>
        </w:rPr>
        <w:t>as</w:t>
      </w:r>
      <w:proofErr w:type="spellEnd"/>
      <w:r w:rsidRPr="00E3425A">
        <w:rPr>
          <w:i/>
          <w:iCs/>
          <w:color w:val="000000"/>
          <w:spacing w:val="-7"/>
          <w:sz w:val="24"/>
          <w:szCs w:val="24"/>
          <w:bdr w:val="none" w:sz="0" w:space="0" w:color="auto" w:frame="1"/>
        </w:rPr>
        <w:t xml:space="preserve"> Critical </w:t>
      </w:r>
      <w:proofErr w:type="spellStart"/>
      <w:r w:rsidRPr="00E3425A">
        <w:rPr>
          <w:i/>
          <w:iCs/>
          <w:color w:val="000000"/>
          <w:spacing w:val="-7"/>
          <w:sz w:val="24"/>
          <w:szCs w:val="24"/>
          <w:bdr w:val="none" w:sz="0" w:space="0" w:color="auto" w:frame="1"/>
        </w:rPr>
        <w:t>Discourse</w:t>
      </w:r>
      <w:proofErr w:type="spellEnd"/>
      <w:r w:rsidRPr="00E3425A">
        <w:rPr>
          <w:color w:val="000000"/>
          <w:spacing w:val="-7"/>
          <w:sz w:val="24"/>
          <w:szCs w:val="24"/>
          <w:bdr w:val="none" w:sz="0" w:space="0" w:color="auto" w:frame="1"/>
        </w:rPr>
        <w:t>, Cambridge University Press, 1991-2008</w:t>
      </w:r>
      <w:r w:rsidRPr="00E3425A">
        <w:rPr>
          <w:color w:val="000000"/>
          <w:spacing w:val="-7"/>
          <w:sz w:val="24"/>
          <w:szCs w:val="24"/>
          <w:bdr w:val="none" w:sz="0" w:space="0" w:color="auto" w:frame="1"/>
          <w:vertAlign w:val="superscript"/>
        </w:rPr>
        <w:t>2</w:t>
      </w:r>
      <w:r w:rsidRPr="00E3425A">
        <w:rPr>
          <w:color w:val="000000"/>
          <w:spacing w:val="-7"/>
          <w:sz w:val="24"/>
          <w:szCs w:val="24"/>
          <w:bdr w:val="none" w:sz="0" w:space="0" w:color="auto" w:frame="1"/>
        </w:rPr>
        <w:t>, </w:t>
      </w:r>
      <w:r w:rsidRPr="00E3425A">
        <w:rPr>
          <w:i/>
          <w:iCs/>
          <w:color w:val="000000"/>
          <w:sz w:val="24"/>
          <w:szCs w:val="24"/>
          <w:bdr w:val="none" w:sz="0" w:space="0" w:color="auto" w:frame="1"/>
        </w:rPr>
        <w:t>Introduzione a Conrad</w:t>
      </w:r>
      <w:r w:rsidRPr="00E3425A">
        <w:rPr>
          <w:color w:val="000000"/>
          <w:sz w:val="24"/>
          <w:szCs w:val="24"/>
          <w:bdr w:val="none" w:sz="0" w:space="0" w:color="auto" w:frame="1"/>
        </w:rPr>
        <w:t>,</w:t>
      </w:r>
      <w:r w:rsidRPr="00E3425A">
        <w:rPr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E3425A">
        <w:rPr>
          <w:color w:val="000000"/>
          <w:sz w:val="24"/>
          <w:szCs w:val="24"/>
          <w:bdr w:val="none" w:sz="0" w:space="0" w:color="auto" w:frame="1"/>
        </w:rPr>
        <w:t>Laterza, 1991, </w:t>
      </w:r>
      <w:r w:rsidRPr="00E3425A">
        <w:rPr>
          <w:i/>
          <w:iCs/>
          <w:color w:val="000000"/>
          <w:spacing w:val="-4"/>
          <w:sz w:val="24"/>
          <w:szCs w:val="24"/>
          <w:bdr w:val="none" w:sz="0" w:space="0" w:color="auto" w:frame="1"/>
        </w:rPr>
        <w:t>Le storie di Conrad. Biografia intellettuale di un romanziere</w:t>
      </w:r>
      <w:r w:rsidRPr="00E3425A">
        <w:rPr>
          <w:color w:val="000000"/>
          <w:spacing w:val="-4"/>
          <w:sz w:val="24"/>
          <w:szCs w:val="24"/>
          <w:bdr w:val="none" w:sz="0" w:space="0" w:color="auto" w:frame="1"/>
        </w:rPr>
        <w:t xml:space="preserve">, Carocci, 2019 – e lo scrittore scozzese Robert Louis Stevenson: la monografia </w:t>
      </w:r>
      <w:r w:rsidRPr="00E3425A">
        <w:rPr>
          <w:i/>
          <w:iCs/>
          <w:color w:val="000000"/>
          <w:sz w:val="24"/>
          <w:szCs w:val="24"/>
          <w:bdr w:val="none" w:sz="0" w:space="0" w:color="auto" w:frame="1"/>
        </w:rPr>
        <w:t>R. L. Stevenson: la poetica del romanzo</w:t>
      </w:r>
      <w:r w:rsidRPr="00E3425A">
        <w:rPr>
          <w:color w:val="000000"/>
          <w:sz w:val="24"/>
          <w:szCs w:val="24"/>
          <w:bdr w:val="none" w:sz="0" w:space="0" w:color="auto" w:frame="1"/>
        </w:rPr>
        <w:t>,</w:t>
      </w:r>
      <w:r w:rsidRPr="00E3425A">
        <w:rPr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E3425A">
        <w:rPr>
          <w:color w:val="000000"/>
          <w:spacing w:val="-4"/>
          <w:sz w:val="24"/>
          <w:szCs w:val="24"/>
          <w:bdr w:val="none" w:sz="0" w:space="0" w:color="auto" w:frame="1"/>
        </w:rPr>
        <w:t xml:space="preserve">Bulzoni, 2001, e </w:t>
      </w:r>
      <w:r w:rsidR="00251FA7">
        <w:rPr>
          <w:color w:val="000000"/>
          <w:spacing w:val="-4"/>
          <w:sz w:val="24"/>
          <w:szCs w:val="24"/>
          <w:bdr w:val="none" w:sz="0" w:space="0" w:color="auto" w:frame="1"/>
        </w:rPr>
        <w:t xml:space="preserve">due </w:t>
      </w:r>
      <w:r w:rsidRPr="00E3425A">
        <w:rPr>
          <w:color w:val="000000"/>
          <w:spacing w:val="-4"/>
          <w:sz w:val="24"/>
          <w:szCs w:val="24"/>
          <w:bdr w:val="none" w:sz="0" w:space="0" w:color="auto" w:frame="1"/>
        </w:rPr>
        <w:t xml:space="preserve">volumi curati </w:t>
      </w:r>
      <w:r w:rsidR="00251FA7">
        <w:rPr>
          <w:color w:val="000000"/>
          <w:spacing w:val="-4"/>
          <w:sz w:val="24"/>
          <w:szCs w:val="24"/>
          <w:bdr w:val="none" w:sz="0" w:space="0" w:color="auto" w:frame="1"/>
        </w:rPr>
        <w:t xml:space="preserve">insieme a </w:t>
      </w:r>
      <w:r w:rsidRPr="00E3425A">
        <w:rPr>
          <w:color w:val="000000"/>
          <w:spacing w:val="-4"/>
          <w:sz w:val="24"/>
          <w:szCs w:val="24"/>
          <w:bdr w:val="none" w:sz="0" w:space="0" w:color="auto" w:frame="1"/>
        </w:rPr>
        <w:t>Richard Dury</w:t>
      </w:r>
      <w:r w:rsidR="00251FA7">
        <w:rPr>
          <w:color w:val="000000"/>
          <w:spacing w:val="-4"/>
          <w:sz w:val="24"/>
          <w:szCs w:val="24"/>
          <w:bdr w:val="none" w:sz="0" w:space="0" w:color="auto" w:frame="1"/>
        </w:rPr>
        <w:t>:</w:t>
      </w:r>
      <w:r w:rsidRPr="00E3425A">
        <w:rPr>
          <w:color w:val="000000"/>
          <w:spacing w:val="-4"/>
          <w:sz w:val="24"/>
          <w:szCs w:val="24"/>
          <w:bdr w:val="none" w:sz="0" w:space="0" w:color="auto" w:frame="1"/>
        </w:rPr>
        <w:t> </w:t>
      </w:r>
      <w:r w:rsidRPr="00E3425A">
        <w:rPr>
          <w:i/>
          <w:iCs/>
          <w:color w:val="000000"/>
          <w:spacing w:val="-4"/>
          <w:sz w:val="24"/>
          <w:szCs w:val="24"/>
          <w:bdr w:val="none" w:sz="0" w:space="0" w:color="auto" w:frame="1"/>
        </w:rPr>
        <w:t>Robert Louis Stevenson, Writer of </w:t>
      </w:r>
      <w:proofErr w:type="spellStart"/>
      <w:r w:rsidRPr="00E3425A">
        <w:rPr>
          <w:i/>
          <w:iCs/>
          <w:color w:val="000000"/>
          <w:sz w:val="24"/>
          <w:szCs w:val="24"/>
          <w:bdr w:val="none" w:sz="0" w:space="0" w:color="auto" w:frame="1"/>
        </w:rPr>
        <w:t>Boundaries</w:t>
      </w:r>
      <w:proofErr w:type="spellEnd"/>
      <w:r w:rsidRPr="00E3425A">
        <w:rPr>
          <w:color w:val="000000"/>
          <w:sz w:val="24"/>
          <w:szCs w:val="24"/>
          <w:bdr w:val="none" w:sz="0" w:space="0" w:color="auto" w:frame="1"/>
        </w:rPr>
        <w:t xml:space="preserve">, University of Wisconsin Press, 2006, </w:t>
      </w:r>
      <w:proofErr w:type="gramStart"/>
      <w:r w:rsidRPr="00E3425A">
        <w:rPr>
          <w:color w:val="000000"/>
          <w:sz w:val="24"/>
          <w:szCs w:val="24"/>
          <w:bdr w:val="none" w:sz="0" w:space="0" w:color="auto" w:frame="1"/>
        </w:rPr>
        <w:t>e</w:t>
      </w:r>
      <w:proofErr w:type="gramEnd"/>
      <w:r w:rsidRPr="00E3425A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425A">
        <w:rPr>
          <w:i/>
          <w:iCs/>
          <w:color w:val="000000"/>
          <w:sz w:val="24"/>
          <w:szCs w:val="24"/>
          <w:bdr w:val="none" w:sz="0" w:space="0" w:color="auto" w:frame="1"/>
        </w:rPr>
        <w:t>European</w:t>
      </w:r>
      <w:proofErr w:type="spellEnd"/>
      <w:r w:rsidRPr="00E3425A">
        <w:rPr>
          <w:i/>
          <w:iCs/>
          <w:color w:val="000000"/>
          <w:sz w:val="24"/>
          <w:szCs w:val="24"/>
          <w:bdr w:val="none" w:sz="0" w:space="0" w:color="auto" w:frame="1"/>
        </w:rPr>
        <w:t xml:space="preserve"> Stevenson</w:t>
      </w:r>
      <w:r w:rsidRPr="00E3425A">
        <w:rPr>
          <w:color w:val="000000"/>
          <w:sz w:val="24"/>
          <w:szCs w:val="24"/>
          <w:bdr w:val="none" w:sz="0" w:space="0" w:color="auto" w:frame="1"/>
        </w:rPr>
        <w:t xml:space="preserve">, Cambridge </w:t>
      </w:r>
      <w:proofErr w:type="spellStart"/>
      <w:r w:rsidRPr="00E3425A">
        <w:rPr>
          <w:color w:val="000000"/>
          <w:sz w:val="24"/>
          <w:szCs w:val="24"/>
          <w:bdr w:val="none" w:sz="0" w:space="0" w:color="auto" w:frame="1"/>
        </w:rPr>
        <w:t>Scholars</w:t>
      </w:r>
      <w:proofErr w:type="spellEnd"/>
      <w:r w:rsidRPr="00E3425A">
        <w:rPr>
          <w:color w:val="000000"/>
          <w:sz w:val="24"/>
          <w:szCs w:val="24"/>
          <w:bdr w:val="none" w:sz="0" w:space="0" w:color="auto" w:frame="1"/>
        </w:rPr>
        <w:t>, 2009.</w:t>
      </w:r>
      <w:r w:rsidRPr="00E3425A">
        <w:rPr>
          <w:color w:val="000000"/>
          <w:spacing w:val="-4"/>
          <w:sz w:val="24"/>
          <w:szCs w:val="24"/>
          <w:bdr w:val="none" w:sz="0" w:space="0" w:color="auto" w:frame="1"/>
        </w:rPr>
        <w:t> </w:t>
      </w:r>
    </w:p>
    <w:p w14:paraId="07BD4CDA" w14:textId="77777777" w:rsidR="00150A9C" w:rsidRPr="00C9050B" w:rsidRDefault="00150A9C" w:rsidP="00150A9C">
      <w:pPr>
        <w:rPr>
          <w:noProof/>
          <w:sz w:val="24"/>
          <w:szCs w:val="24"/>
        </w:rPr>
      </w:pPr>
      <w:r w:rsidRPr="00C9050B">
        <w:rPr>
          <w:sz w:val="24"/>
          <w:szCs w:val="24"/>
        </w:rPr>
        <w:t xml:space="preserve">Tra le sue traduzioni più recenti, </w:t>
      </w:r>
      <w:r w:rsidRPr="00C9050B">
        <w:rPr>
          <w:i/>
          <w:iCs/>
          <w:sz w:val="24"/>
          <w:szCs w:val="24"/>
        </w:rPr>
        <w:t>Il caso</w:t>
      </w:r>
      <w:r w:rsidRPr="00C9050B">
        <w:rPr>
          <w:sz w:val="24"/>
          <w:szCs w:val="24"/>
        </w:rPr>
        <w:t xml:space="preserve"> di Conrad (2013) e </w:t>
      </w:r>
      <w:r w:rsidRPr="00C9050B">
        <w:rPr>
          <w:noProof/>
          <w:sz w:val="24"/>
          <w:szCs w:val="24"/>
        </w:rPr>
        <w:t xml:space="preserve">la commedia di G. B. Shaw, </w:t>
      </w:r>
      <w:r w:rsidRPr="00C9050B">
        <w:rPr>
          <w:i/>
          <w:iCs/>
          <w:noProof/>
          <w:sz w:val="24"/>
          <w:szCs w:val="24"/>
        </w:rPr>
        <w:t>Le armi e l’uomo</w:t>
      </w:r>
      <w:r w:rsidRPr="00C9050B">
        <w:rPr>
          <w:noProof/>
          <w:sz w:val="24"/>
          <w:szCs w:val="24"/>
        </w:rPr>
        <w:t xml:space="preserve"> (2022).</w:t>
      </w:r>
    </w:p>
    <w:p w14:paraId="667015BD" w14:textId="77777777" w:rsidR="00535808" w:rsidRDefault="00535808"/>
    <w:sectPr w:rsidR="00535808" w:rsidSect="00150A9C">
      <w:pgSz w:w="11909" w:h="16834"/>
      <w:pgMar w:top="1440" w:right="1032" w:bottom="720" w:left="10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9C"/>
    <w:rsid w:val="00101968"/>
    <w:rsid w:val="00150A9C"/>
    <w:rsid w:val="00251FA7"/>
    <w:rsid w:val="00535808"/>
    <w:rsid w:val="00657566"/>
    <w:rsid w:val="00B6504D"/>
    <w:rsid w:val="00DE5AFA"/>
    <w:rsid w:val="00E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19EE"/>
  <w15:chartTrackingRefBased/>
  <w15:docId w15:val="{BAE0C74D-A17D-4CAD-A9B4-5B082BA6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0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Ambrosini</dc:creator>
  <cp:keywords/>
  <dc:description/>
  <cp:lastModifiedBy>Richard Ambrosini</cp:lastModifiedBy>
  <cp:revision>2</cp:revision>
  <dcterms:created xsi:type="dcterms:W3CDTF">2023-10-06T07:37:00Z</dcterms:created>
  <dcterms:modified xsi:type="dcterms:W3CDTF">2023-10-06T08:06:00Z</dcterms:modified>
</cp:coreProperties>
</file>